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赵海燕</w:t>
      </w:r>
      <w:r>
        <w:rPr>
          <w:rFonts w:hint="eastAsia"/>
          <w:sz w:val="15"/>
          <w:szCs w:val="15"/>
          <w:highlight w:val="none"/>
        </w:rPr>
        <w:t>，</w:t>
      </w:r>
      <w:r>
        <w:rPr>
          <w:rFonts w:hint="eastAsia"/>
          <w:sz w:val="15"/>
          <w:szCs w:val="15"/>
          <w:highlight w:val="none"/>
          <w:lang w:val="en-US" w:eastAsia="zh-CN"/>
        </w:rPr>
        <w:t>13022719930623002X</w:t>
      </w:r>
      <w:r>
        <w:rPr>
          <w:rFonts w:hint="eastAsia"/>
          <w:sz w:val="15"/>
          <w:szCs w:val="15"/>
        </w:rPr>
        <w:t xml:space="preserve">  </w:t>
      </w:r>
      <w:r>
        <w:rPr>
          <w:rFonts w:hint="eastAsia"/>
          <w:sz w:val="15"/>
          <w:szCs w:val="15"/>
          <w:lang w:val="en-US" w:eastAsia="zh-CN"/>
        </w:rPr>
        <w:t>冀B21821D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