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李春辉</w:t>
      </w:r>
      <w:r>
        <w:rPr>
          <w:rFonts w:hint="eastAsia"/>
          <w:sz w:val="15"/>
          <w:szCs w:val="15"/>
          <w:highlight w:val="none"/>
        </w:rPr>
        <w:t>，</w:t>
      </w:r>
      <w:r>
        <w:rPr>
          <w:rFonts w:hint="eastAsia"/>
          <w:sz w:val="15"/>
          <w:szCs w:val="15"/>
          <w:highlight w:val="none"/>
          <w:lang w:val="en-US" w:eastAsia="zh-CN"/>
        </w:rPr>
        <w:t>130126198702211510</w:t>
      </w:r>
      <w:r>
        <w:rPr>
          <w:rFonts w:hint="eastAsia"/>
          <w:sz w:val="15"/>
          <w:szCs w:val="15"/>
        </w:rPr>
        <w:t xml:space="preserve">  </w:t>
      </w:r>
      <w:r>
        <w:rPr>
          <w:rFonts w:hint="eastAsia"/>
          <w:sz w:val="15"/>
          <w:szCs w:val="15"/>
          <w:lang w:val="en-US" w:eastAsia="zh-CN"/>
        </w:rPr>
        <w:t>沪A68203D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