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齐跃伟</w:t>
      </w:r>
      <w:r>
        <w:rPr>
          <w:rFonts w:hint="eastAsia"/>
          <w:sz w:val="15"/>
          <w:szCs w:val="15"/>
          <w:highlight w:val="none"/>
        </w:rPr>
        <w:t>，</w:t>
      </w:r>
      <w:r>
        <w:rPr>
          <w:rFonts w:hint="eastAsia"/>
          <w:sz w:val="15"/>
          <w:szCs w:val="15"/>
          <w:highlight w:val="none"/>
          <w:lang w:val="en-US" w:eastAsia="zh-CN"/>
        </w:rPr>
        <w:t>132335198109280733</w:t>
      </w:r>
      <w:r>
        <w:rPr>
          <w:rFonts w:hint="eastAsia"/>
          <w:sz w:val="15"/>
          <w:szCs w:val="15"/>
        </w:rPr>
        <w:t xml:space="preserve">  </w:t>
      </w:r>
      <w:r>
        <w:rPr>
          <w:rFonts w:hint="eastAsia"/>
          <w:sz w:val="15"/>
          <w:szCs w:val="15"/>
          <w:lang w:val="en-US" w:eastAsia="zh-CN"/>
        </w:rPr>
        <w:t>沪A12291A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