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曹金龙</w:t>
      </w:r>
      <w:r>
        <w:rPr>
          <w:rFonts w:hint="eastAsia"/>
          <w:sz w:val="15"/>
          <w:szCs w:val="15"/>
          <w:highlight w:val="none"/>
        </w:rPr>
        <w:t>，</w:t>
      </w:r>
      <w:r>
        <w:rPr>
          <w:rFonts w:hint="eastAsia"/>
          <w:sz w:val="15"/>
          <w:szCs w:val="15"/>
          <w:highlight w:val="none"/>
          <w:lang w:val="en-US" w:eastAsia="zh-CN"/>
        </w:rPr>
        <w:t>132335197310261011</w:t>
      </w:r>
      <w:r>
        <w:rPr>
          <w:rFonts w:hint="eastAsia"/>
          <w:sz w:val="15"/>
          <w:szCs w:val="15"/>
        </w:rPr>
        <w:t xml:space="preserve">  </w:t>
      </w:r>
      <w:r>
        <w:rPr>
          <w:rFonts w:hint="eastAsia"/>
          <w:sz w:val="15"/>
          <w:szCs w:val="15"/>
          <w:lang w:val="en-US" w:eastAsia="zh-CN"/>
        </w:rPr>
        <w:t>冀A09728D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