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刘江停</w:t>
      </w:r>
      <w:r>
        <w:rPr>
          <w:rFonts w:hint="eastAsia"/>
          <w:sz w:val="15"/>
          <w:szCs w:val="15"/>
          <w:highlight w:val="none"/>
        </w:rPr>
        <w:t>，</w:t>
      </w:r>
      <w:r>
        <w:rPr>
          <w:rFonts w:hint="eastAsia"/>
          <w:sz w:val="15"/>
          <w:szCs w:val="15"/>
          <w:highlight w:val="none"/>
          <w:lang w:val="en-US" w:eastAsia="zh-CN"/>
        </w:rPr>
        <w:t>130637198210021821</w:t>
      </w:r>
      <w:r>
        <w:rPr>
          <w:rFonts w:hint="eastAsia"/>
          <w:sz w:val="15"/>
          <w:szCs w:val="15"/>
        </w:rPr>
        <w:t xml:space="preserve">  </w:t>
      </w:r>
      <w:r>
        <w:rPr>
          <w:rFonts w:hint="eastAsia"/>
          <w:sz w:val="15"/>
          <w:szCs w:val="15"/>
          <w:lang w:val="en-US" w:eastAsia="zh-CN"/>
        </w:rPr>
        <w:t>沪A80857D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