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杨晓美</w:t>
      </w:r>
      <w:r>
        <w:rPr>
          <w:rFonts w:hint="eastAsia"/>
          <w:sz w:val="15"/>
          <w:szCs w:val="15"/>
          <w:highlight w:val="none"/>
        </w:rPr>
        <w:t>，</w:t>
      </w:r>
      <w:r>
        <w:rPr>
          <w:rFonts w:hint="eastAsia"/>
          <w:sz w:val="15"/>
          <w:szCs w:val="15"/>
          <w:highlight w:val="none"/>
          <w:lang w:val="en-US" w:eastAsia="zh-CN"/>
        </w:rPr>
        <w:t>13018219870126534X</w:t>
      </w:r>
      <w:r>
        <w:rPr>
          <w:rFonts w:hint="eastAsia"/>
          <w:sz w:val="15"/>
          <w:szCs w:val="15"/>
        </w:rPr>
        <w:t xml:space="preserve">  </w:t>
      </w:r>
      <w:r>
        <w:rPr>
          <w:rFonts w:hint="eastAsia"/>
          <w:sz w:val="15"/>
          <w:szCs w:val="15"/>
          <w:lang w:val="en-US" w:eastAsia="zh-CN"/>
        </w:rPr>
        <w:t>冀A55713</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