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王静</w:t>
      </w:r>
      <w:r>
        <w:rPr>
          <w:rFonts w:hint="eastAsia"/>
          <w:sz w:val="15"/>
          <w:szCs w:val="15"/>
          <w:highlight w:val="none"/>
        </w:rPr>
        <w:t>，</w:t>
      </w:r>
      <w:r>
        <w:rPr>
          <w:rFonts w:hint="eastAsia"/>
          <w:sz w:val="15"/>
          <w:szCs w:val="15"/>
          <w:highlight w:val="none"/>
          <w:lang w:val="en-US" w:eastAsia="zh-CN"/>
        </w:rPr>
        <w:t>130131199501021222</w:t>
      </w:r>
      <w:r>
        <w:rPr>
          <w:rFonts w:hint="eastAsia"/>
          <w:sz w:val="15"/>
          <w:szCs w:val="15"/>
        </w:rPr>
        <w:t xml:space="preserve">  </w:t>
      </w:r>
      <w:r>
        <w:rPr>
          <w:rFonts w:hint="eastAsia"/>
          <w:sz w:val="15"/>
          <w:szCs w:val="15"/>
          <w:lang w:val="en-US" w:eastAsia="zh-CN"/>
        </w:rPr>
        <w:t>冀A32385D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