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程二龙</w:t>
      </w:r>
      <w:r>
        <w:rPr>
          <w:rFonts w:hint="eastAsia"/>
          <w:sz w:val="15"/>
          <w:szCs w:val="15"/>
          <w:highlight w:val="none"/>
        </w:rPr>
        <w:t>，</w:t>
      </w:r>
      <w:r>
        <w:rPr>
          <w:rFonts w:hint="eastAsia"/>
          <w:sz w:val="15"/>
          <w:szCs w:val="15"/>
          <w:highlight w:val="none"/>
          <w:lang w:val="en-US" w:eastAsia="zh-CN"/>
        </w:rPr>
        <w:t>130131199008030053</w:t>
      </w:r>
      <w:r>
        <w:rPr>
          <w:rFonts w:hint="eastAsia"/>
          <w:sz w:val="15"/>
          <w:szCs w:val="15"/>
        </w:rPr>
        <w:t xml:space="preserve">  </w:t>
      </w:r>
      <w:r>
        <w:rPr>
          <w:rFonts w:hint="eastAsia"/>
          <w:sz w:val="15"/>
          <w:szCs w:val="15"/>
          <w:lang w:val="en-US" w:eastAsia="zh-CN"/>
        </w:rPr>
        <w:t>冀A03739D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