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齐朋波</w:t>
      </w:r>
      <w:r>
        <w:rPr>
          <w:rFonts w:hint="eastAsia"/>
          <w:sz w:val="15"/>
          <w:szCs w:val="15"/>
          <w:highlight w:val="none"/>
        </w:rPr>
        <w:t>，</w:t>
      </w:r>
      <w:r>
        <w:rPr>
          <w:rFonts w:hint="eastAsia"/>
          <w:sz w:val="15"/>
          <w:szCs w:val="15"/>
          <w:highlight w:val="none"/>
          <w:lang w:val="en-US" w:eastAsia="zh-CN"/>
        </w:rPr>
        <w:t>13013119830601011X</w:t>
      </w:r>
      <w:r>
        <w:rPr>
          <w:rFonts w:hint="eastAsia"/>
          <w:sz w:val="15"/>
          <w:szCs w:val="15"/>
        </w:rPr>
        <w:t xml:space="preserve">  </w:t>
      </w:r>
      <w:r>
        <w:rPr>
          <w:rFonts w:hint="eastAsia"/>
          <w:sz w:val="15"/>
          <w:szCs w:val="15"/>
          <w:lang w:val="en-US" w:eastAsia="zh-CN"/>
        </w:rPr>
        <w:t>沪A83892D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