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韩跃鹏</w:t>
      </w:r>
      <w:r>
        <w:rPr>
          <w:rFonts w:hint="eastAsia"/>
          <w:sz w:val="15"/>
          <w:szCs w:val="15"/>
          <w:highlight w:val="none"/>
        </w:rPr>
        <w:t>，</w:t>
      </w:r>
      <w:r>
        <w:rPr>
          <w:rFonts w:hint="eastAsia"/>
          <w:sz w:val="15"/>
          <w:szCs w:val="15"/>
          <w:highlight w:val="none"/>
          <w:lang w:val="en-US" w:eastAsia="zh-CN"/>
        </w:rPr>
        <w:t>13013119820605393X</w:t>
      </w:r>
      <w:r>
        <w:rPr>
          <w:rFonts w:hint="eastAsia"/>
          <w:sz w:val="15"/>
          <w:szCs w:val="15"/>
        </w:rPr>
        <w:t xml:space="preserve">  </w:t>
      </w:r>
      <w:r>
        <w:rPr>
          <w:rFonts w:hint="eastAsia"/>
          <w:sz w:val="15"/>
          <w:szCs w:val="15"/>
          <w:lang w:val="en-US" w:eastAsia="zh-CN"/>
        </w:rPr>
        <w:t>沪A78978D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