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康利召</w:t>
      </w:r>
      <w:r>
        <w:rPr>
          <w:rFonts w:hint="eastAsia"/>
          <w:sz w:val="15"/>
          <w:szCs w:val="15"/>
          <w:highlight w:val="none"/>
        </w:rPr>
        <w:t>，</w:t>
      </w:r>
      <w:r>
        <w:rPr>
          <w:rFonts w:hint="eastAsia"/>
          <w:sz w:val="15"/>
          <w:szCs w:val="15"/>
          <w:highlight w:val="none"/>
          <w:lang w:val="en-US" w:eastAsia="zh-CN"/>
        </w:rPr>
        <w:t>130131198107223630</w:t>
      </w:r>
      <w:r>
        <w:rPr>
          <w:rFonts w:hint="eastAsia"/>
          <w:sz w:val="15"/>
          <w:szCs w:val="15"/>
        </w:rPr>
        <w:t xml:space="preserve">  </w:t>
      </w:r>
      <w:r>
        <w:rPr>
          <w:rFonts w:hint="eastAsia"/>
          <w:sz w:val="15"/>
          <w:szCs w:val="15"/>
          <w:lang w:val="en-US" w:eastAsia="zh-CN"/>
        </w:rPr>
        <w:t>冀A09858D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