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袁乔风</w:t>
      </w:r>
      <w:r>
        <w:rPr>
          <w:rFonts w:hint="eastAsia"/>
          <w:sz w:val="15"/>
          <w:szCs w:val="15"/>
          <w:highlight w:val="none"/>
        </w:rPr>
        <w:t>，</w:t>
      </w:r>
      <w:r>
        <w:rPr>
          <w:rFonts w:hint="eastAsia"/>
          <w:sz w:val="15"/>
          <w:szCs w:val="15"/>
          <w:highlight w:val="none"/>
          <w:lang w:val="en-US" w:eastAsia="zh-CN"/>
        </w:rPr>
        <w:t>130126199002273029</w:t>
      </w:r>
      <w:r>
        <w:rPr>
          <w:rFonts w:hint="eastAsia"/>
          <w:sz w:val="15"/>
          <w:szCs w:val="15"/>
        </w:rPr>
        <w:t xml:space="preserve">  </w:t>
      </w:r>
      <w:r>
        <w:rPr>
          <w:rFonts w:hint="eastAsia"/>
          <w:sz w:val="15"/>
          <w:szCs w:val="15"/>
          <w:lang w:val="en-US" w:eastAsia="zh-CN"/>
        </w:rPr>
        <w:t>冀A33411D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