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任志花</w:t>
      </w:r>
      <w:r>
        <w:rPr>
          <w:rFonts w:hint="eastAsia"/>
          <w:sz w:val="15"/>
          <w:szCs w:val="15"/>
          <w:highlight w:val="none"/>
        </w:rPr>
        <w:t>，</w:t>
      </w:r>
      <w:r>
        <w:rPr>
          <w:rFonts w:hint="eastAsia"/>
          <w:sz w:val="15"/>
          <w:szCs w:val="15"/>
          <w:highlight w:val="none"/>
          <w:lang w:val="en-US" w:eastAsia="zh-CN"/>
        </w:rPr>
        <w:t>130126198806130029</w:t>
      </w:r>
      <w:r>
        <w:rPr>
          <w:rFonts w:hint="eastAsia"/>
          <w:sz w:val="15"/>
          <w:szCs w:val="15"/>
        </w:rPr>
        <w:t xml:space="preserve">  </w:t>
      </w:r>
      <w:r>
        <w:rPr>
          <w:rFonts w:hint="eastAsia"/>
          <w:sz w:val="15"/>
          <w:szCs w:val="15"/>
          <w:lang w:val="en-US" w:eastAsia="zh-CN"/>
        </w:rPr>
        <w:t>冀T05503D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