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金晓燕</w:t>
      </w:r>
      <w:r>
        <w:rPr>
          <w:rFonts w:hint="eastAsia"/>
          <w:sz w:val="15"/>
          <w:szCs w:val="15"/>
          <w:highlight w:val="none"/>
        </w:rPr>
        <w:t>，</w:t>
      </w:r>
      <w:r>
        <w:rPr>
          <w:rFonts w:hint="eastAsia"/>
          <w:sz w:val="15"/>
          <w:szCs w:val="15"/>
          <w:highlight w:val="none"/>
          <w:lang w:val="en-US" w:eastAsia="zh-CN"/>
        </w:rPr>
        <w:t>130126198606273041</w:t>
      </w:r>
      <w:r>
        <w:rPr>
          <w:rFonts w:hint="eastAsia"/>
          <w:sz w:val="15"/>
          <w:szCs w:val="15"/>
        </w:rPr>
        <w:t xml:space="preserve">  </w:t>
      </w:r>
      <w:r>
        <w:rPr>
          <w:rFonts w:hint="eastAsia"/>
          <w:sz w:val="15"/>
          <w:szCs w:val="15"/>
          <w:lang w:val="en-US" w:eastAsia="zh-CN"/>
        </w:rPr>
        <w:t>沪A96539D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