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房志强</w:t>
      </w:r>
      <w:r>
        <w:rPr>
          <w:rFonts w:hint="eastAsia"/>
          <w:sz w:val="15"/>
          <w:szCs w:val="15"/>
          <w:highlight w:val="none"/>
        </w:rPr>
        <w:t>，</w:t>
      </w:r>
      <w:r>
        <w:rPr>
          <w:rFonts w:hint="eastAsia"/>
          <w:sz w:val="15"/>
          <w:szCs w:val="15"/>
          <w:highlight w:val="none"/>
          <w:lang w:val="en-US" w:eastAsia="zh-CN"/>
        </w:rPr>
        <w:t>130123198208262751</w:t>
      </w:r>
      <w:r>
        <w:rPr>
          <w:rFonts w:hint="eastAsia"/>
          <w:sz w:val="15"/>
          <w:szCs w:val="15"/>
        </w:rPr>
        <w:t xml:space="preserve">  </w:t>
      </w:r>
      <w:r>
        <w:rPr>
          <w:rFonts w:hint="eastAsia"/>
          <w:sz w:val="15"/>
          <w:szCs w:val="15"/>
          <w:lang w:val="en-US" w:eastAsia="zh-CN"/>
        </w:rPr>
        <w:t>冀A5747Q</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