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杨建龙</w:t>
      </w:r>
      <w:r>
        <w:rPr>
          <w:rFonts w:hint="eastAsia"/>
          <w:sz w:val="15"/>
          <w:szCs w:val="15"/>
          <w:highlight w:val="none"/>
        </w:rPr>
        <w:t>，</w:t>
      </w:r>
      <w:r>
        <w:rPr>
          <w:rFonts w:hint="eastAsia"/>
          <w:sz w:val="15"/>
          <w:szCs w:val="15"/>
          <w:highlight w:val="none"/>
          <w:lang w:val="en-US" w:eastAsia="zh-CN"/>
        </w:rPr>
        <w:t>132335198007050013</w:t>
      </w:r>
      <w:r>
        <w:rPr>
          <w:rFonts w:hint="eastAsia"/>
          <w:sz w:val="15"/>
          <w:szCs w:val="15"/>
        </w:rPr>
        <w:t xml:space="preserve">  </w:t>
      </w:r>
      <w:r>
        <w:rPr>
          <w:rFonts w:hint="eastAsia"/>
          <w:sz w:val="15"/>
          <w:szCs w:val="15"/>
          <w:lang w:val="en-US" w:eastAsia="zh-CN"/>
        </w:rPr>
        <w:t>沪A81987D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