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焦利超</w:t>
      </w:r>
      <w:r>
        <w:rPr>
          <w:rFonts w:hint="eastAsia"/>
          <w:sz w:val="15"/>
          <w:szCs w:val="15"/>
          <w:highlight w:val="none"/>
        </w:rPr>
        <w:t>，</w:t>
      </w:r>
      <w:r>
        <w:rPr>
          <w:rFonts w:hint="eastAsia"/>
          <w:sz w:val="15"/>
          <w:szCs w:val="15"/>
          <w:highlight w:val="none"/>
          <w:lang w:val="en-US" w:eastAsia="zh-CN"/>
        </w:rPr>
        <w:t>132335198006070872</w:t>
      </w:r>
      <w:r>
        <w:rPr>
          <w:rFonts w:hint="eastAsia"/>
          <w:sz w:val="15"/>
          <w:szCs w:val="15"/>
        </w:rPr>
        <w:t xml:space="preserve">  </w:t>
      </w:r>
      <w:r>
        <w:rPr>
          <w:rFonts w:hint="eastAsia"/>
          <w:sz w:val="15"/>
          <w:szCs w:val="15"/>
          <w:lang w:val="en-US" w:eastAsia="zh-CN"/>
        </w:rPr>
        <w:t>沪A96837D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