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任振波</w:t>
      </w:r>
      <w:r>
        <w:rPr>
          <w:rFonts w:hint="eastAsia"/>
          <w:sz w:val="15"/>
          <w:szCs w:val="15"/>
          <w:highlight w:val="none"/>
        </w:rPr>
        <w:t>，</w:t>
      </w:r>
      <w:r>
        <w:rPr>
          <w:rFonts w:hint="eastAsia"/>
          <w:sz w:val="15"/>
          <w:szCs w:val="15"/>
          <w:highlight w:val="none"/>
          <w:lang w:val="en-US" w:eastAsia="zh-CN"/>
        </w:rPr>
        <w:t>132335197709280716</w:t>
      </w:r>
      <w:r>
        <w:rPr>
          <w:rFonts w:hint="eastAsia"/>
          <w:sz w:val="15"/>
          <w:szCs w:val="15"/>
        </w:rPr>
        <w:t xml:space="preserve">  </w:t>
      </w:r>
      <w:r>
        <w:rPr>
          <w:rFonts w:hint="eastAsia"/>
          <w:sz w:val="15"/>
          <w:szCs w:val="15"/>
          <w:lang w:val="en-US" w:eastAsia="zh-CN"/>
        </w:rPr>
        <w:t>冀A06086D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