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杨二风</w:t>
      </w:r>
      <w:r>
        <w:rPr>
          <w:rFonts w:hint="eastAsia"/>
          <w:sz w:val="15"/>
          <w:szCs w:val="15"/>
          <w:highlight w:val="none"/>
        </w:rPr>
        <w:t>，</w:t>
      </w:r>
      <w:r>
        <w:rPr>
          <w:rFonts w:hint="eastAsia"/>
          <w:sz w:val="15"/>
          <w:szCs w:val="15"/>
          <w:highlight w:val="none"/>
          <w:lang w:val="en-US" w:eastAsia="zh-CN"/>
        </w:rPr>
        <w:t>132335196706190868</w:t>
      </w:r>
      <w:r>
        <w:rPr>
          <w:rFonts w:hint="eastAsia"/>
          <w:sz w:val="15"/>
          <w:szCs w:val="15"/>
        </w:rPr>
        <w:t xml:space="preserve">  </w:t>
      </w:r>
      <w:r>
        <w:rPr>
          <w:rFonts w:hint="eastAsia"/>
          <w:sz w:val="15"/>
          <w:szCs w:val="15"/>
          <w:lang w:val="en-US" w:eastAsia="zh-CN"/>
        </w:rPr>
        <w:t>沪A88396D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