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刘子卿</w:t>
      </w:r>
      <w:r>
        <w:rPr>
          <w:rFonts w:hint="eastAsia"/>
          <w:sz w:val="15"/>
          <w:szCs w:val="15"/>
          <w:highlight w:val="none"/>
        </w:rPr>
        <w:t>，</w:t>
      </w:r>
      <w:r>
        <w:rPr>
          <w:rFonts w:hint="eastAsia"/>
          <w:sz w:val="15"/>
          <w:szCs w:val="15"/>
          <w:highlight w:val="none"/>
          <w:lang w:val="en-US" w:eastAsia="zh-CN"/>
        </w:rPr>
        <w:t>130925198505155019</w:t>
      </w:r>
      <w:r>
        <w:rPr>
          <w:rFonts w:hint="eastAsia"/>
          <w:sz w:val="15"/>
          <w:szCs w:val="15"/>
        </w:rPr>
        <w:t xml:space="preserve">  </w:t>
      </w:r>
      <w:r>
        <w:rPr>
          <w:rFonts w:hint="eastAsia"/>
          <w:sz w:val="15"/>
          <w:szCs w:val="15"/>
          <w:lang w:val="en-US" w:eastAsia="zh-CN"/>
        </w:rPr>
        <w:t>冀J05523D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