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周学仙</w:t>
      </w:r>
      <w:r>
        <w:rPr>
          <w:rFonts w:hint="eastAsia"/>
          <w:sz w:val="15"/>
          <w:szCs w:val="15"/>
          <w:highlight w:val="none"/>
        </w:rPr>
        <w:t>，</w:t>
      </w:r>
      <w:r>
        <w:rPr>
          <w:rFonts w:hint="eastAsia"/>
          <w:sz w:val="15"/>
          <w:szCs w:val="15"/>
          <w:highlight w:val="none"/>
          <w:lang w:val="en-US" w:eastAsia="zh-CN"/>
        </w:rPr>
        <w:t>130425198509051826</w:t>
      </w:r>
      <w:r>
        <w:rPr>
          <w:rFonts w:hint="eastAsia"/>
          <w:sz w:val="15"/>
          <w:szCs w:val="15"/>
        </w:rPr>
        <w:t xml:space="preserve">  </w:t>
      </w:r>
      <w:r>
        <w:rPr>
          <w:rFonts w:hint="eastAsia"/>
          <w:sz w:val="15"/>
          <w:szCs w:val="15"/>
          <w:lang w:val="en-US" w:eastAsia="zh-CN"/>
        </w:rPr>
        <w:t>冀D06734D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