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王慧琴</w:t>
      </w:r>
      <w:r>
        <w:rPr>
          <w:rFonts w:hint="eastAsia"/>
          <w:sz w:val="15"/>
          <w:szCs w:val="15"/>
          <w:highlight w:val="none"/>
        </w:rPr>
        <w:t>，</w:t>
      </w:r>
      <w:r>
        <w:rPr>
          <w:rFonts w:hint="eastAsia"/>
          <w:sz w:val="15"/>
          <w:szCs w:val="15"/>
          <w:highlight w:val="none"/>
          <w:lang w:val="en-US" w:eastAsia="zh-CN"/>
        </w:rPr>
        <w:t>130131199603030920</w:t>
      </w:r>
      <w:r>
        <w:rPr>
          <w:rFonts w:hint="eastAsia"/>
          <w:sz w:val="15"/>
          <w:szCs w:val="15"/>
        </w:rPr>
        <w:t xml:space="preserve">  </w:t>
      </w:r>
      <w:r>
        <w:rPr>
          <w:rFonts w:hint="eastAsia"/>
          <w:sz w:val="15"/>
          <w:szCs w:val="15"/>
          <w:lang w:val="en-US" w:eastAsia="zh-CN"/>
        </w:rPr>
        <w:t>冀A36610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