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丁超英</w:t>
      </w:r>
      <w:r>
        <w:rPr>
          <w:rFonts w:hint="eastAsia"/>
          <w:sz w:val="15"/>
          <w:szCs w:val="15"/>
          <w:highlight w:val="none"/>
        </w:rPr>
        <w:t>，</w:t>
      </w:r>
      <w:r>
        <w:rPr>
          <w:rFonts w:hint="eastAsia"/>
          <w:sz w:val="15"/>
          <w:szCs w:val="15"/>
          <w:highlight w:val="none"/>
          <w:lang w:val="en-US" w:eastAsia="zh-CN"/>
        </w:rPr>
        <w:t>130131199501080644</w:t>
      </w:r>
      <w:r>
        <w:rPr>
          <w:rFonts w:hint="eastAsia"/>
          <w:sz w:val="15"/>
          <w:szCs w:val="15"/>
        </w:rPr>
        <w:t xml:space="preserve">  </w:t>
      </w:r>
      <w:r>
        <w:rPr>
          <w:rFonts w:hint="eastAsia"/>
          <w:sz w:val="15"/>
          <w:szCs w:val="15"/>
          <w:lang w:val="en-US" w:eastAsia="zh-CN"/>
        </w:rPr>
        <w:t>沪A70556D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