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睢秀娟</w:t>
      </w:r>
      <w:r>
        <w:rPr>
          <w:rFonts w:hint="eastAsia"/>
          <w:sz w:val="15"/>
          <w:szCs w:val="15"/>
          <w:highlight w:val="none"/>
        </w:rPr>
        <w:t>，</w:t>
      </w:r>
      <w:r>
        <w:rPr>
          <w:rFonts w:hint="eastAsia"/>
          <w:sz w:val="15"/>
          <w:szCs w:val="15"/>
          <w:highlight w:val="none"/>
          <w:lang w:val="en-US" w:eastAsia="zh-CN"/>
        </w:rPr>
        <w:t>130131198902011522</w:t>
      </w:r>
      <w:r>
        <w:rPr>
          <w:rFonts w:hint="eastAsia"/>
          <w:sz w:val="15"/>
          <w:szCs w:val="15"/>
        </w:rPr>
        <w:t xml:space="preserve">  </w:t>
      </w:r>
      <w:r>
        <w:rPr>
          <w:rFonts w:hint="eastAsia"/>
          <w:sz w:val="15"/>
          <w:szCs w:val="15"/>
          <w:lang w:val="en-US" w:eastAsia="zh-CN"/>
        </w:rPr>
        <w:t>冀A05238D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