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赵进彦</w:t>
      </w:r>
      <w:r>
        <w:rPr>
          <w:rFonts w:hint="eastAsia"/>
          <w:sz w:val="15"/>
          <w:szCs w:val="15"/>
          <w:highlight w:val="none"/>
        </w:rPr>
        <w:t>，</w:t>
      </w:r>
      <w:r>
        <w:rPr>
          <w:rFonts w:hint="eastAsia"/>
          <w:sz w:val="15"/>
          <w:szCs w:val="15"/>
          <w:highlight w:val="none"/>
          <w:lang w:val="en-US" w:eastAsia="zh-CN"/>
        </w:rPr>
        <w:t>130131198604081522</w:t>
      </w:r>
      <w:r>
        <w:rPr>
          <w:rFonts w:hint="eastAsia"/>
          <w:sz w:val="15"/>
          <w:szCs w:val="15"/>
        </w:rPr>
        <w:t xml:space="preserve">  </w:t>
      </w:r>
      <w:r>
        <w:rPr>
          <w:rFonts w:hint="eastAsia"/>
          <w:sz w:val="15"/>
          <w:szCs w:val="15"/>
          <w:lang w:val="en-US" w:eastAsia="zh-CN"/>
        </w:rPr>
        <w:t>冀A30655D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