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睢利利</w:t>
      </w:r>
      <w:r>
        <w:rPr>
          <w:rFonts w:hint="eastAsia"/>
          <w:sz w:val="15"/>
          <w:szCs w:val="15"/>
          <w:highlight w:val="none"/>
        </w:rPr>
        <w:t>，</w:t>
      </w:r>
      <w:r>
        <w:rPr>
          <w:rFonts w:hint="eastAsia"/>
          <w:sz w:val="15"/>
          <w:szCs w:val="15"/>
          <w:highlight w:val="none"/>
          <w:lang w:val="en-US" w:eastAsia="zh-CN"/>
        </w:rPr>
        <w:t>130131198403191522</w:t>
      </w:r>
      <w:r>
        <w:rPr>
          <w:rFonts w:hint="eastAsia"/>
          <w:sz w:val="15"/>
          <w:szCs w:val="15"/>
        </w:rPr>
        <w:t xml:space="preserve">  </w:t>
      </w:r>
      <w:r>
        <w:rPr>
          <w:rFonts w:hint="eastAsia"/>
          <w:sz w:val="15"/>
          <w:szCs w:val="15"/>
          <w:lang w:val="en-US" w:eastAsia="zh-CN"/>
        </w:rPr>
        <w:t>沪A21297A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