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赵二</w:t>
      </w:r>
      <w:r>
        <w:rPr>
          <w:rFonts w:hint="eastAsia"/>
          <w:sz w:val="15"/>
          <w:szCs w:val="15"/>
          <w:highlight w:val="none"/>
        </w:rPr>
        <w:t>，</w:t>
      </w:r>
      <w:r>
        <w:rPr>
          <w:rFonts w:hint="eastAsia"/>
          <w:sz w:val="15"/>
          <w:szCs w:val="15"/>
          <w:highlight w:val="none"/>
          <w:lang w:val="en-US" w:eastAsia="zh-CN"/>
        </w:rPr>
        <w:t>130131199007181254</w:t>
      </w:r>
      <w:r>
        <w:rPr>
          <w:rFonts w:hint="eastAsia"/>
          <w:sz w:val="15"/>
          <w:szCs w:val="15"/>
        </w:rPr>
        <w:t xml:space="preserve">  </w:t>
      </w:r>
      <w:r>
        <w:rPr>
          <w:rFonts w:hint="eastAsia"/>
          <w:sz w:val="15"/>
          <w:szCs w:val="15"/>
          <w:lang w:val="en-US" w:eastAsia="zh-CN"/>
        </w:rPr>
        <w:t>冀A10GZ8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